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878B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77B4F">
        <w:rPr>
          <w:rFonts w:ascii="Arial" w:hAnsi="Arial" w:cs="Arial"/>
          <w:b/>
          <w:sz w:val="20"/>
          <w:szCs w:val="20"/>
        </w:rPr>
        <w:t>Annual 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878B8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878B8" w:rsidRPr="009878B8">
        <w:rPr>
          <w:rFonts w:ascii="Arial" w:hAnsi="Arial" w:cs="Arial"/>
          <w:sz w:val="20"/>
          <w:szCs w:val="20"/>
        </w:rPr>
        <w:t>715. Joint Stock Company</w:t>
      </w:r>
      <w:r w:rsidR="009878B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77B4F" w:rsidRPr="00F77B4F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9878B8">
        <w:rPr>
          <w:rFonts w:ascii="Arial" w:hAnsi="Arial" w:cs="Arial"/>
          <w:sz w:val="20"/>
          <w:szCs w:val="20"/>
        </w:rPr>
        <w:t xml:space="preserve">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9878B8">
        <w:rPr>
          <w:rFonts w:ascii="Arial" w:hAnsi="Arial" w:cs="Arial"/>
          <w:sz w:val="20"/>
          <w:szCs w:val="20"/>
        </w:rPr>
        <w:t>715</w:t>
      </w:r>
      <w:r>
        <w:rPr>
          <w:rFonts w:ascii="Arial" w:hAnsi="Arial" w:cs="Arial"/>
          <w:sz w:val="20"/>
          <w:szCs w:val="20"/>
        </w:rPr>
        <w:t xml:space="preserve">. </w:t>
      </w:r>
      <w:r w:rsidRPr="009878B8">
        <w:rPr>
          <w:rFonts w:ascii="Arial" w:hAnsi="Arial" w:cs="Arial"/>
          <w:sz w:val="20"/>
          <w:szCs w:val="20"/>
        </w:rPr>
        <w:t xml:space="preserve">Joint Stock Company agreed on the following contents: 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8B8">
        <w:rPr>
          <w:rFonts w:ascii="Arial" w:hAnsi="Arial" w:cs="Arial"/>
          <w:sz w:val="20"/>
          <w:szCs w:val="20"/>
        </w:rPr>
        <w:t xml:space="preserve">1. Agreeing </w:t>
      </w:r>
      <w:r>
        <w:rPr>
          <w:rFonts w:ascii="Arial" w:hAnsi="Arial" w:cs="Arial"/>
          <w:sz w:val="20"/>
          <w:szCs w:val="20"/>
        </w:rPr>
        <w:t xml:space="preserve">to the report on activities of the Board of Directors </w:t>
      </w:r>
      <w:r w:rsidRPr="009878B8">
        <w:rPr>
          <w:rFonts w:ascii="Arial" w:hAnsi="Arial" w:cs="Arial"/>
          <w:sz w:val="20"/>
          <w:szCs w:val="20"/>
        </w:rPr>
        <w:t xml:space="preserve">in 2019 and the </w:t>
      </w:r>
      <w:r>
        <w:rPr>
          <w:rFonts w:ascii="Arial" w:hAnsi="Arial" w:cs="Arial"/>
          <w:sz w:val="20"/>
          <w:szCs w:val="20"/>
        </w:rPr>
        <w:t>operation plan for</w:t>
      </w:r>
      <w:r w:rsidRPr="009878B8">
        <w:rPr>
          <w:rFonts w:ascii="Arial" w:hAnsi="Arial" w:cs="Arial"/>
          <w:sz w:val="20"/>
          <w:szCs w:val="20"/>
        </w:rPr>
        <w:t xml:space="preserve"> 2020 according to the contents of the Rep</w:t>
      </w:r>
      <w:r>
        <w:rPr>
          <w:rFonts w:ascii="Arial" w:hAnsi="Arial" w:cs="Arial"/>
          <w:sz w:val="20"/>
          <w:szCs w:val="20"/>
        </w:rPr>
        <w:t>ort No. 29</w:t>
      </w:r>
      <w:r w:rsidRPr="009878B8">
        <w:rPr>
          <w:rFonts w:ascii="Arial" w:hAnsi="Arial" w:cs="Arial"/>
          <w:sz w:val="20"/>
          <w:szCs w:val="20"/>
        </w:rPr>
        <w:t xml:space="preserve">/ BC - HDQT dated </w:t>
      </w:r>
      <w:r>
        <w:rPr>
          <w:rFonts w:ascii="Arial" w:hAnsi="Arial" w:cs="Arial"/>
          <w:sz w:val="20"/>
          <w:szCs w:val="20"/>
        </w:rPr>
        <w:t>08 May 2020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8B8">
        <w:rPr>
          <w:rFonts w:ascii="Arial" w:hAnsi="Arial" w:cs="Arial"/>
          <w:sz w:val="20"/>
          <w:szCs w:val="20"/>
        </w:rPr>
        <w:t xml:space="preserve">2. Agreeing </w:t>
      </w:r>
      <w:r>
        <w:rPr>
          <w:rFonts w:ascii="Arial" w:hAnsi="Arial" w:cs="Arial"/>
          <w:sz w:val="20"/>
          <w:szCs w:val="20"/>
        </w:rPr>
        <w:t xml:space="preserve">to </w:t>
      </w:r>
      <w:r w:rsidRPr="009878B8">
        <w:rPr>
          <w:rFonts w:ascii="Arial" w:hAnsi="Arial" w:cs="Arial"/>
          <w:sz w:val="20"/>
          <w:szCs w:val="20"/>
        </w:rPr>
        <w:t xml:space="preserve">the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9878B8">
        <w:rPr>
          <w:rFonts w:ascii="Arial" w:hAnsi="Arial" w:cs="Arial"/>
          <w:sz w:val="20"/>
          <w:szCs w:val="20"/>
        </w:rPr>
        <w:t xml:space="preserve"> on the situation of production and business in 2019 and the </w:t>
      </w:r>
      <w:r>
        <w:rPr>
          <w:rFonts w:ascii="Arial" w:hAnsi="Arial" w:cs="Arial"/>
          <w:sz w:val="20"/>
          <w:szCs w:val="20"/>
        </w:rPr>
        <w:t>operation plan for</w:t>
      </w:r>
      <w:r w:rsidRPr="009878B8">
        <w:rPr>
          <w:rFonts w:ascii="Arial" w:hAnsi="Arial" w:cs="Arial"/>
          <w:sz w:val="20"/>
          <w:szCs w:val="20"/>
        </w:rPr>
        <w:t xml:space="preserve"> 2020 according</w:t>
      </w:r>
      <w:r>
        <w:rPr>
          <w:rFonts w:ascii="Arial" w:hAnsi="Arial" w:cs="Arial"/>
          <w:sz w:val="20"/>
          <w:szCs w:val="20"/>
        </w:rPr>
        <w:t xml:space="preserve"> to the content of the Report dated</w:t>
      </w:r>
      <w:r w:rsidRPr="009878B8">
        <w:rPr>
          <w:rFonts w:ascii="Arial" w:hAnsi="Arial" w:cs="Arial"/>
          <w:sz w:val="20"/>
          <w:szCs w:val="20"/>
        </w:rPr>
        <w:t xml:space="preserve"> May 8, 2020 with the following main targets: 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9878B8">
        <w:rPr>
          <w:rFonts w:ascii="Arial" w:hAnsi="Arial" w:cs="Arial"/>
          <w:sz w:val="20"/>
          <w:szCs w:val="20"/>
        </w:rPr>
        <w:t xml:space="preserve">production and business results </w:t>
      </w:r>
      <w:r>
        <w:rPr>
          <w:rFonts w:ascii="Arial" w:hAnsi="Arial" w:cs="Arial"/>
          <w:sz w:val="20"/>
          <w:szCs w:val="20"/>
        </w:rPr>
        <w:t>of</w:t>
      </w:r>
      <w:r w:rsidRPr="009878B8">
        <w:rPr>
          <w:rFonts w:ascii="Arial" w:hAnsi="Arial" w:cs="Arial"/>
          <w:sz w:val="20"/>
          <w:szCs w:val="20"/>
        </w:rPr>
        <w:t xml:space="preserve"> 2019 and 2020 production and business plan: 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8B8">
        <w:rPr>
          <w:rFonts w:ascii="Arial" w:hAnsi="Arial" w:cs="Arial"/>
          <w:sz w:val="20"/>
          <w:szCs w:val="20"/>
        </w:rPr>
        <w:t xml:space="preserve">Unit: </w:t>
      </w:r>
      <w:r w:rsidRPr="009878B8">
        <w:rPr>
          <w:rFonts w:ascii="Arial" w:hAnsi="Arial" w:cs="Arial"/>
          <w:sz w:val="20"/>
          <w:szCs w:val="20"/>
        </w:rPr>
        <w:t xml:space="preserve">VND </w:t>
      </w:r>
      <w:r w:rsidRPr="009878B8">
        <w:rPr>
          <w:rFonts w:ascii="Arial" w:hAnsi="Arial" w:cs="Arial"/>
          <w:sz w:val="20"/>
          <w:szCs w:val="20"/>
        </w:rPr>
        <w:t xml:space="preserve">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105,876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91,000</w:t>
            </w:r>
          </w:p>
        </w:tc>
      </w:tr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4,525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4,366</w:t>
            </w:r>
          </w:p>
        </w:tc>
      </w:tr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8.4%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</w:tr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income/ person/ month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9878B8" w:rsidTr="009878B8">
        <w:tc>
          <w:tcPr>
            <w:tcW w:w="64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8B8">
        <w:rPr>
          <w:rFonts w:ascii="Arial" w:hAnsi="Arial" w:cs="Arial"/>
          <w:sz w:val="20"/>
          <w:szCs w:val="20"/>
        </w:rPr>
        <w:t xml:space="preserve">3. Agreeing to report </w:t>
      </w:r>
      <w:r>
        <w:rPr>
          <w:rFonts w:ascii="Arial" w:hAnsi="Arial" w:cs="Arial"/>
          <w:sz w:val="20"/>
          <w:szCs w:val="20"/>
        </w:rPr>
        <w:t xml:space="preserve">on </w:t>
      </w:r>
      <w:r w:rsidRPr="009878B8">
        <w:rPr>
          <w:rFonts w:ascii="Arial" w:hAnsi="Arial" w:cs="Arial"/>
          <w:sz w:val="20"/>
          <w:szCs w:val="20"/>
        </w:rPr>
        <w:t xml:space="preserve">the control results at the Annual General Meeting of Shareholders in 2020 according </w:t>
      </w:r>
      <w:r>
        <w:rPr>
          <w:rFonts w:ascii="Arial" w:hAnsi="Arial" w:cs="Arial"/>
          <w:sz w:val="20"/>
          <w:szCs w:val="20"/>
        </w:rPr>
        <w:t>to the content of Report No. 30/ BC - BKS dated May 8, 2020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8B8">
        <w:rPr>
          <w:rFonts w:ascii="Arial" w:hAnsi="Arial" w:cs="Arial"/>
          <w:sz w:val="20"/>
          <w:szCs w:val="20"/>
        </w:rPr>
        <w:t>4. Agreeing on the financial targets, profit distributi</w:t>
      </w:r>
      <w:r>
        <w:rPr>
          <w:rFonts w:ascii="Arial" w:hAnsi="Arial" w:cs="Arial"/>
          <w:sz w:val="20"/>
          <w:szCs w:val="20"/>
        </w:rPr>
        <w:t>on plan, dividend payment for</w:t>
      </w:r>
      <w:r w:rsidRPr="009878B8">
        <w:rPr>
          <w:rFonts w:ascii="Arial" w:hAnsi="Arial" w:cs="Arial"/>
          <w:sz w:val="20"/>
          <w:szCs w:val="20"/>
        </w:rPr>
        <w:t xml:space="preserve"> 2019 at the Annual General Meeting of Shareholders in 20</w:t>
      </w:r>
      <w:r>
        <w:rPr>
          <w:rFonts w:ascii="Arial" w:hAnsi="Arial" w:cs="Arial"/>
          <w:sz w:val="20"/>
          <w:szCs w:val="20"/>
        </w:rPr>
        <w:t>20 according to Proposal No. 31</w:t>
      </w:r>
      <w:r w:rsidRPr="009878B8">
        <w:rPr>
          <w:rFonts w:ascii="Arial" w:hAnsi="Arial" w:cs="Arial"/>
          <w:sz w:val="20"/>
          <w:szCs w:val="20"/>
        </w:rPr>
        <w:t>/ BC</w:t>
      </w:r>
      <w:r>
        <w:rPr>
          <w:rFonts w:ascii="Arial" w:hAnsi="Arial" w:cs="Arial"/>
          <w:sz w:val="20"/>
          <w:szCs w:val="20"/>
        </w:rPr>
        <w:t xml:space="preserve"> – DHDCD dated </w:t>
      </w:r>
      <w:r w:rsidRPr="009878B8">
        <w:rPr>
          <w:rFonts w:ascii="Arial" w:hAnsi="Arial" w:cs="Arial"/>
          <w:sz w:val="20"/>
          <w:szCs w:val="20"/>
        </w:rPr>
        <w:t xml:space="preserve">May 8, 2020: 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distribution for </w:t>
      </w:r>
      <w:r w:rsidRPr="009878B8">
        <w:rPr>
          <w:rFonts w:ascii="Arial" w:hAnsi="Arial" w:cs="Arial"/>
          <w:sz w:val="20"/>
          <w:szCs w:val="20"/>
        </w:rPr>
        <w:t xml:space="preserve">2019: </w:t>
      </w:r>
    </w:p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</w:t>
      </w:r>
      <w:r w:rsidRPr="009878B8">
        <w:rPr>
          <w:rFonts w:ascii="Arial" w:hAnsi="Arial" w:cs="Arial"/>
          <w:sz w:val="20"/>
          <w:szCs w:val="20"/>
        </w:rPr>
        <w:t xml:space="preserve">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46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4,538,114,236</w:t>
            </w:r>
          </w:p>
        </w:tc>
      </w:tr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2,228,114,236</w:t>
            </w:r>
          </w:p>
        </w:tc>
      </w:tr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9878B8" w:rsidRP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2316">
              <w:rPr>
                <w:rFonts w:ascii="Arial" w:hAnsi="Arial" w:cs="Arial"/>
                <w:sz w:val="20"/>
                <w:szCs w:val="20"/>
              </w:rPr>
              <w:t>715.</w:t>
            </w:r>
            <w:r w:rsidRPr="009878B8"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1,886,214,685</w:t>
            </w:r>
          </w:p>
        </w:tc>
      </w:tr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- 715 Construction Co., Ltd No.1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67,358,051</w:t>
            </w:r>
          </w:p>
        </w:tc>
      </w:tr>
      <w:tr w:rsidR="009878B8" w:rsidTr="009878B8">
        <w:tc>
          <w:tcPr>
            <w:tcW w:w="738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- 715 </w:t>
            </w:r>
            <w:r>
              <w:rPr>
                <w:rFonts w:ascii="Arial" w:hAnsi="Arial" w:cs="Arial"/>
                <w:sz w:val="20"/>
                <w:szCs w:val="20"/>
              </w:rPr>
              <w:t>Construction Co., Ltd No.2</w:t>
            </w:r>
          </w:p>
        </w:tc>
        <w:tc>
          <w:tcPr>
            <w:tcW w:w="3192" w:type="dxa"/>
          </w:tcPr>
          <w:p w:rsid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274,541,500</w:t>
            </w:r>
          </w:p>
        </w:tc>
      </w:tr>
      <w:tr w:rsidR="009878B8" w:rsidTr="009878B8">
        <w:tc>
          <w:tcPr>
            <w:tcW w:w="738" w:type="dxa"/>
          </w:tcPr>
          <w:p w:rsid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:rsid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(8.4%)</w:t>
            </w:r>
          </w:p>
        </w:tc>
        <w:tc>
          <w:tcPr>
            <w:tcW w:w="3192" w:type="dxa"/>
          </w:tcPr>
          <w:p w:rsidR="009878B8" w:rsidRPr="009878B8" w:rsidRDefault="009878B8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8B8">
              <w:rPr>
                <w:rFonts w:ascii="Arial" w:hAnsi="Arial" w:cs="Arial"/>
                <w:sz w:val="20"/>
                <w:szCs w:val="20"/>
              </w:rPr>
              <w:t>2,310,000,000</w:t>
            </w:r>
          </w:p>
        </w:tc>
      </w:tr>
      <w:tr w:rsidR="009878B8" w:rsidTr="009878B8">
        <w:tc>
          <w:tcPr>
            <w:tcW w:w="738" w:type="dxa"/>
          </w:tcPr>
          <w:p w:rsid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6" w:type="dxa"/>
          </w:tcPr>
          <w:p w:rsidR="009878B8" w:rsidRDefault="00662316" w:rsidP="006623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carried over to 2020</w:t>
            </w:r>
          </w:p>
        </w:tc>
        <w:tc>
          <w:tcPr>
            <w:tcW w:w="3192" w:type="dxa"/>
          </w:tcPr>
          <w:p w:rsidR="009878B8" w:rsidRPr="009878B8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878B8" w:rsidRDefault="009878B8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316" w:rsidRDefault="00662316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profit distribution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662316" w:rsidTr="00662316">
        <w:tc>
          <w:tcPr>
            <w:tcW w:w="558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92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662316" w:rsidTr="00662316">
        <w:tc>
          <w:tcPr>
            <w:tcW w:w="558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3192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2,166,000,000</w:t>
            </w:r>
          </w:p>
        </w:tc>
      </w:tr>
      <w:tr w:rsidR="00662316" w:rsidTr="00662316">
        <w:tc>
          <w:tcPr>
            <w:tcW w:w="558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8%</w:t>
            </w:r>
          </w:p>
        </w:tc>
        <w:tc>
          <w:tcPr>
            <w:tcW w:w="3192" w:type="dxa"/>
          </w:tcPr>
          <w:p w:rsidR="00662316" w:rsidRDefault="00662316" w:rsidP="009878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2,200,000,000</w:t>
            </w:r>
          </w:p>
        </w:tc>
      </w:tr>
    </w:tbl>
    <w:p w:rsidR="00662316" w:rsidRDefault="00662316" w:rsidP="00987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16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2316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authorized</w:t>
      </w:r>
      <w:r w:rsidRPr="00662316">
        <w:rPr>
          <w:rFonts w:ascii="Arial" w:hAnsi="Arial" w:cs="Arial"/>
          <w:sz w:val="20"/>
          <w:szCs w:val="20"/>
        </w:rPr>
        <w:t xml:space="preserve"> the Board of Directors to amend, supplement and adjust flexibly to suit the actual bus</w:t>
      </w:r>
      <w:r>
        <w:rPr>
          <w:rFonts w:ascii="Arial" w:hAnsi="Arial" w:cs="Arial"/>
          <w:sz w:val="20"/>
          <w:szCs w:val="20"/>
        </w:rPr>
        <w:t>iness situation of the Company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16">
        <w:rPr>
          <w:rFonts w:ascii="Arial" w:hAnsi="Arial" w:cs="Arial"/>
          <w:sz w:val="20"/>
          <w:szCs w:val="20"/>
        </w:rPr>
        <w:t xml:space="preserve">5. Agreeing to the remuneration level in 2020 of the Board of Directors, the Supervisory Board and the Secretary according to </w:t>
      </w:r>
      <w:r>
        <w:rPr>
          <w:rFonts w:ascii="Arial" w:hAnsi="Arial" w:cs="Arial"/>
          <w:sz w:val="20"/>
          <w:szCs w:val="20"/>
        </w:rPr>
        <w:t>Proposal No. 32</w:t>
      </w:r>
      <w:r w:rsidRPr="0066231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662316">
        <w:rPr>
          <w:rFonts w:ascii="Arial" w:hAnsi="Arial" w:cs="Arial"/>
          <w:sz w:val="20"/>
          <w:szCs w:val="20"/>
        </w:rPr>
        <w:t>TTr</w:t>
      </w:r>
      <w:proofErr w:type="spellEnd"/>
      <w:r w:rsidRPr="00662316">
        <w:rPr>
          <w:rFonts w:ascii="Arial" w:hAnsi="Arial" w:cs="Arial"/>
          <w:sz w:val="20"/>
          <w:szCs w:val="20"/>
        </w:rPr>
        <w:t xml:space="preserve"> - DHDCD dated May 8, 2020: 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62316">
        <w:rPr>
          <w:rFonts w:ascii="Arial" w:hAnsi="Arial" w:cs="Arial"/>
          <w:sz w:val="20"/>
          <w:szCs w:val="20"/>
        </w:rPr>
        <w:t>Remuneration for 2020: VND 176</w:t>
      </w:r>
      <w:r>
        <w:rPr>
          <w:rFonts w:ascii="Arial" w:hAnsi="Arial" w:cs="Arial"/>
          <w:sz w:val="20"/>
          <w:szCs w:val="20"/>
        </w:rPr>
        <w:t>,400,000 (corresponding to 4.04% of the plan profit of 2020)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16">
        <w:rPr>
          <w:rFonts w:ascii="Arial" w:hAnsi="Arial" w:cs="Arial"/>
          <w:sz w:val="20"/>
          <w:szCs w:val="20"/>
        </w:rPr>
        <w:t>6. Agreeing to authorize the Board of Directors of 715</w:t>
      </w:r>
      <w:r>
        <w:rPr>
          <w:rFonts w:ascii="Arial" w:hAnsi="Arial" w:cs="Arial"/>
          <w:sz w:val="20"/>
          <w:szCs w:val="20"/>
        </w:rPr>
        <w:t>.</w:t>
      </w:r>
      <w:r w:rsidRPr="00662316">
        <w:rPr>
          <w:rFonts w:ascii="Arial" w:hAnsi="Arial" w:cs="Arial"/>
          <w:sz w:val="20"/>
          <w:szCs w:val="20"/>
        </w:rPr>
        <w:t xml:space="preserve"> Joint Stock Company to sel</w:t>
      </w:r>
      <w:r>
        <w:rPr>
          <w:rFonts w:ascii="Arial" w:hAnsi="Arial" w:cs="Arial"/>
          <w:sz w:val="20"/>
          <w:szCs w:val="20"/>
        </w:rPr>
        <w:t>ect one of the auditing units for the financial statement of</w:t>
      </w:r>
      <w:r w:rsidRPr="0066231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20 according to Proposal No. 33/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 w:rsidRPr="00662316">
        <w:rPr>
          <w:rFonts w:ascii="Arial" w:hAnsi="Arial" w:cs="Arial"/>
          <w:sz w:val="20"/>
          <w:szCs w:val="20"/>
        </w:rPr>
        <w:t xml:space="preserve">/ DHCDCD dated May 8, 2020 of the Board of Directors </w:t>
      </w:r>
      <w:r>
        <w:rPr>
          <w:rFonts w:ascii="Arial" w:hAnsi="Arial" w:cs="Arial"/>
          <w:sz w:val="20"/>
          <w:szCs w:val="20"/>
        </w:rPr>
        <w:t>of</w:t>
      </w:r>
      <w:r w:rsidRPr="00662316">
        <w:rPr>
          <w:rFonts w:ascii="Arial" w:hAnsi="Arial" w:cs="Arial"/>
          <w:sz w:val="20"/>
          <w:szCs w:val="20"/>
        </w:rPr>
        <w:t xml:space="preserve"> 715</w:t>
      </w:r>
      <w:r>
        <w:rPr>
          <w:rFonts w:ascii="Arial" w:hAnsi="Arial" w:cs="Arial"/>
          <w:sz w:val="20"/>
          <w:szCs w:val="20"/>
        </w:rPr>
        <w:t>. Joint Stock Company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16">
        <w:rPr>
          <w:rFonts w:ascii="Arial" w:hAnsi="Arial" w:cs="Arial"/>
          <w:sz w:val="20"/>
          <w:szCs w:val="20"/>
        </w:rPr>
        <w:t>7. Ag</w:t>
      </w:r>
      <w:r>
        <w:rPr>
          <w:rFonts w:ascii="Arial" w:hAnsi="Arial" w:cs="Arial"/>
          <w:sz w:val="20"/>
          <w:szCs w:val="20"/>
        </w:rPr>
        <w:t>reeing to</w:t>
      </w:r>
      <w:r w:rsidRPr="0066231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election </w:t>
      </w:r>
      <w:r w:rsidRPr="00662316">
        <w:rPr>
          <w:rFonts w:ascii="Arial" w:hAnsi="Arial" w:cs="Arial"/>
          <w:sz w:val="20"/>
          <w:szCs w:val="20"/>
        </w:rPr>
        <w:t xml:space="preserve">results </w:t>
      </w:r>
      <w:r>
        <w:rPr>
          <w:rFonts w:ascii="Arial" w:hAnsi="Arial" w:cs="Arial"/>
          <w:sz w:val="20"/>
          <w:szCs w:val="20"/>
        </w:rPr>
        <w:t>for member of the Board of Directors of 715. Joint Stock Company</w:t>
      </w:r>
      <w:r w:rsidRPr="00662316">
        <w:rPr>
          <w:rFonts w:ascii="Arial" w:hAnsi="Arial" w:cs="Arial"/>
          <w:sz w:val="20"/>
          <w:szCs w:val="20"/>
        </w:rPr>
        <w:t xml:space="preserve"> for the 2020-2025 term by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Agreeing to approve the internal r</w:t>
      </w:r>
      <w:r w:rsidRPr="00662316">
        <w:rPr>
          <w:rFonts w:ascii="Arial" w:hAnsi="Arial" w:cs="Arial"/>
          <w:sz w:val="20"/>
          <w:szCs w:val="20"/>
        </w:rPr>
        <w:t>egulation on corporate governance of 715</w:t>
      </w:r>
      <w:r>
        <w:rPr>
          <w:rFonts w:ascii="Arial" w:hAnsi="Arial" w:cs="Arial"/>
          <w:sz w:val="20"/>
          <w:szCs w:val="20"/>
        </w:rPr>
        <w:t>.</w:t>
      </w:r>
      <w:r w:rsidRPr="00662316">
        <w:rPr>
          <w:rFonts w:ascii="Arial" w:hAnsi="Arial" w:cs="Arial"/>
          <w:sz w:val="20"/>
          <w:szCs w:val="20"/>
        </w:rPr>
        <w:t xml:space="preserve"> Joint Stock Company presented at the Annual General Meeting of</w:t>
      </w:r>
      <w:r>
        <w:rPr>
          <w:rFonts w:ascii="Arial" w:hAnsi="Arial" w:cs="Arial"/>
          <w:sz w:val="20"/>
          <w:szCs w:val="20"/>
        </w:rPr>
        <w:t xml:space="preserve"> Shareholders in 2020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The </w:t>
      </w:r>
      <w:r w:rsidRPr="00662316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of 715. </w:t>
      </w:r>
      <w:r w:rsidRPr="00662316">
        <w:rPr>
          <w:rFonts w:ascii="Arial" w:hAnsi="Arial" w:cs="Arial"/>
          <w:sz w:val="20"/>
          <w:szCs w:val="20"/>
        </w:rPr>
        <w:t xml:space="preserve">Joint Stock Company is responsible for organizing the implementation of the </w:t>
      </w:r>
      <w:r>
        <w:rPr>
          <w:rFonts w:ascii="Arial" w:hAnsi="Arial" w:cs="Arial"/>
          <w:sz w:val="20"/>
          <w:szCs w:val="20"/>
        </w:rPr>
        <w:t>General Mandate</w:t>
      </w:r>
      <w:r w:rsidRPr="00662316">
        <w:rPr>
          <w:rFonts w:ascii="Arial" w:hAnsi="Arial" w:cs="Arial"/>
          <w:sz w:val="20"/>
          <w:szCs w:val="20"/>
        </w:rPr>
        <w:t xml:space="preserve">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2316">
        <w:rPr>
          <w:rFonts w:ascii="Arial" w:hAnsi="Arial" w:cs="Arial"/>
          <w:sz w:val="20"/>
          <w:szCs w:val="20"/>
        </w:rPr>
        <w:t xml:space="preserve">General Meeting of Shareholders and reporting the results at the next annual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662316">
        <w:rPr>
          <w:rFonts w:ascii="Arial" w:hAnsi="Arial" w:cs="Arial"/>
          <w:sz w:val="20"/>
          <w:szCs w:val="20"/>
        </w:rPr>
        <w:t xml:space="preserve"> Implementation provisions </w:t>
      </w:r>
    </w:p>
    <w:p w:rsidR="00BB6F2E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General Mandate</w:t>
      </w:r>
      <w:r w:rsidRPr="00662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662316">
        <w:rPr>
          <w:rFonts w:ascii="Arial" w:hAnsi="Arial" w:cs="Arial"/>
          <w:sz w:val="20"/>
          <w:szCs w:val="20"/>
        </w:rPr>
        <w:t xml:space="preserve">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2316">
        <w:rPr>
          <w:rFonts w:ascii="Arial" w:hAnsi="Arial" w:cs="Arial"/>
          <w:sz w:val="20"/>
          <w:szCs w:val="20"/>
        </w:rPr>
        <w:t>General Meeting of Shareholders a</w:t>
      </w:r>
      <w:bookmarkStart w:id="0" w:name="_GoBack"/>
      <w:bookmarkEnd w:id="0"/>
      <w:r w:rsidRPr="00662316">
        <w:rPr>
          <w:rFonts w:ascii="Arial" w:hAnsi="Arial" w:cs="Arial"/>
          <w:sz w:val="20"/>
          <w:szCs w:val="20"/>
        </w:rPr>
        <w:t>nd t</w:t>
      </w:r>
      <w:r w:rsidR="00BB6F2E">
        <w:rPr>
          <w:rFonts w:ascii="Arial" w:hAnsi="Arial" w:cs="Arial"/>
          <w:sz w:val="20"/>
          <w:szCs w:val="20"/>
        </w:rPr>
        <w:t>akes effect from May 20, 2020</w:t>
      </w:r>
    </w:p>
    <w:p w:rsidR="00662316" w:rsidRPr="00662316" w:rsidRDefault="00662316" w:rsidP="00662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16">
        <w:rPr>
          <w:rFonts w:ascii="Arial" w:hAnsi="Arial" w:cs="Arial"/>
          <w:sz w:val="20"/>
          <w:szCs w:val="20"/>
        </w:rPr>
        <w:t xml:space="preserve">Members of the Board of Directors, the </w:t>
      </w:r>
      <w:r w:rsidR="00BB6F2E">
        <w:rPr>
          <w:rFonts w:ascii="Arial" w:hAnsi="Arial" w:cs="Arial"/>
          <w:sz w:val="20"/>
          <w:szCs w:val="20"/>
        </w:rPr>
        <w:t>Supervisor Board</w:t>
      </w:r>
      <w:r w:rsidRPr="00662316">
        <w:rPr>
          <w:rFonts w:ascii="Arial" w:hAnsi="Arial" w:cs="Arial"/>
          <w:sz w:val="20"/>
          <w:szCs w:val="20"/>
        </w:rPr>
        <w:t xml:space="preserve"> and the </w:t>
      </w:r>
      <w:r w:rsidR="00BB6F2E">
        <w:rPr>
          <w:rFonts w:ascii="Arial" w:hAnsi="Arial" w:cs="Arial"/>
          <w:sz w:val="20"/>
          <w:szCs w:val="20"/>
        </w:rPr>
        <w:t>Management Board</w:t>
      </w:r>
      <w:r w:rsidRPr="00662316">
        <w:rPr>
          <w:rFonts w:ascii="Arial" w:hAnsi="Arial" w:cs="Arial"/>
          <w:sz w:val="20"/>
          <w:szCs w:val="20"/>
        </w:rPr>
        <w:t xml:space="preserve"> are responsible for implementing this </w:t>
      </w:r>
      <w:r w:rsidR="00BB6F2E">
        <w:rPr>
          <w:rFonts w:ascii="Arial" w:hAnsi="Arial" w:cs="Arial"/>
          <w:sz w:val="20"/>
          <w:szCs w:val="20"/>
        </w:rPr>
        <w:t>General Mandate</w:t>
      </w:r>
      <w:r w:rsidRPr="00662316">
        <w:rPr>
          <w:rFonts w:ascii="Arial" w:hAnsi="Arial" w:cs="Arial"/>
          <w:sz w:val="20"/>
          <w:szCs w:val="20"/>
        </w:rPr>
        <w:t xml:space="preserve"> and organize the implementation in accordance with </w:t>
      </w:r>
      <w:r w:rsidR="00BB6F2E" w:rsidRPr="00662316">
        <w:rPr>
          <w:rFonts w:ascii="Arial" w:hAnsi="Arial" w:cs="Arial"/>
          <w:sz w:val="20"/>
          <w:szCs w:val="20"/>
        </w:rPr>
        <w:t xml:space="preserve">their functions </w:t>
      </w:r>
      <w:r w:rsidR="00BB6F2E">
        <w:rPr>
          <w:rFonts w:ascii="Arial" w:hAnsi="Arial" w:cs="Arial"/>
          <w:sz w:val="20"/>
          <w:szCs w:val="20"/>
        </w:rPr>
        <w:t xml:space="preserve">the law and </w:t>
      </w:r>
      <w:r w:rsidRPr="00662316">
        <w:rPr>
          <w:rFonts w:ascii="Arial" w:hAnsi="Arial" w:cs="Arial"/>
          <w:sz w:val="20"/>
          <w:szCs w:val="20"/>
        </w:rPr>
        <w:t>Charter on organization and operation of</w:t>
      </w:r>
      <w:r w:rsidR="00BB6F2E">
        <w:rPr>
          <w:rFonts w:ascii="Arial" w:hAnsi="Arial" w:cs="Arial"/>
          <w:sz w:val="20"/>
          <w:szCs w:val="20"/>
        </w:rPr>
        <w:t xml:space="preserve"> 715.</w:t>
      </w:r>
      <w:r w:rsidRPr="00662316">
        <w:rPr>
          <w:rFonts w:ascii="Arial" w:hAnsi="Arial" w:cs="Arial"/>
          <w:sz w:val="20"/>
          <w:szCs w:val="20"/>
        </w:rPr>
        <w:t xml:space="preserve"> Joint Stock Company</w:t>
      </w:r>
    </w:p>
    <w:sectPr w:rsidR="00662316" w:rsidRPr="0066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E02B4"/>
    <w:multiLevelType w:val="hybridMultilevel"/>
    <w:tmpl w:val="FE8263C4"/>
    <w:lvl w:ilvl="0" w:tplc="0AB04A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22849"/>
    <w:rsid w:val="000266C2"/>
    <w:rsid w:val="000365C1"/>
    <w:rsid w:val="00050E3D"/>
    <w:rsid w:val="000603A9"/>
    <w:rsid w:val="00066452"/>
    <w:rsid w:val="00066EE1"/>
    <w:rsid w:val="00075754"/>
    <w:rsid w:val="00085D47"/>
    <w:rsid w:val="000A0B74"/>
    <w:rsid w:val="000A39AA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006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6B31"/>
    <w:rsid w:val="0033774A"/>
    <w:rsid w:val="00341F2F"/>
    <w:rsid w:val="00353428"/>
    <w:rsid w:val="0037607E"/>
    <w:rsid w:val="00377A53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7694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4E73CA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3B3C"/>
    <w:rsid w:val="005D7F9C"/>
    <w:rsid w:val="005E7B32"/>
    <w:rsid w:val="005F7ED5"/>
    <w:rsid w:val="006000D8"/>
    <w:rsid w:val="00611271"/>
    <w:rsid w:val="0063035E"/>
    <w:rsid w:val="0063581B"/>
    <w:rsid w:val="006374A1"/>
    <w:rsid w:val="00641E78"/>
    <w:rsid w:val="00653D82"/>
    <w:rsid w:val="00662316"/>
    <w:rsid w:val="00662E88"/>
    <w:rsid w:val="00664834"/>
    <w:rsid w:val="00677CB8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44587"/>
    <w:rsid w:val="00745D9A"/>
    <w:rsid w:val="00747AF7"/>
    <w:rsid w:val="00750F3E"/>
    <w:rsid w:val="00757555"/>
    <w:rsid w:val="00764908"/>
    <w:rsid w:val="0077456B"/>
    <w:rsid w:val="00781EB4"/>
    <w:rsid w:val="00795480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78B8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9656C"/>
    <w:rsid w:val="00BA1F12"/>
    <w:rsid w:val="00BA2434"/>
    <w:rsid w:val="00BA2DBC"/>
    <w:rsid w:val="00BA3FB7"/>
    <w:rsid w:val="00BB149F"/>
    <w:rsid w:val="00BB2980"/>
    <w:rsid w:val="00BB6F2E"/>
    <w:rsid w:val="00BB7147"/>
    <w:rsid w:val="00BD3CCA"/>
    <w:rsid w:val="00BD6721"/>
    <w:rsid w:val="00BD6969"/>
    <w:rsid w:val="00BF0485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6DA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6C7"/>
    <w:rsid w:val="00EC37DE"/>
    <w:rsid w:val="00ED3B40"/>
    <w:rsid w:val="00ED6D41"/>
    <w:rsid w:val="00EF091F"/>
    <w:rsid w:val="00EF47D6"/>
    <w:rsid w:val="00F268F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77B4F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295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284</cp:revision>
  <dcterms:created xsi:type="dcterms:W3CDTF">2019-10-16T10:03:00Z</dcterms:created>
  <dcterms:modified xsi:type="dcterms:W3CDTF">2020-05-29T06:56:00Z</dcterms:modified>
</cp:coreProperties>
</file>